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1.5. Efecto de cada medida según cuántos controles de celda se incluyan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79"/>
        <w:gridCol w:w="2257"/>
        <w:gridCol w:w="1426"/>
        <w:gridCol w:w="1071"/>
        <w:gridCol w:w="1132"/>
        <w:gridCol w:w="1609"/>
        <w:gridCol w:w="101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controles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ee_pct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Firmas parecidas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Sin controles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Solo tamaño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Sector y tamaño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C. Firmas parecidas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Celda completa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 Sin controles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 Solo tamaño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3,078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Bite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 Sector y tamaño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3,078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A. Bite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 Celda completa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3,078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2026-09-26T20:16:21Z</dcterms:modified>
  <cp:category/>
</cp:coreProperties>
</file>