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2.0. Año de exposición y año base usados para cada año de choque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71"/>
        <w:gridCol w:w="1988"/>
        <w:gridCol w:w="142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2026-09-26T20:16:28Z</dcterms:modified>
  <cp:category/>
</cp:coreProperties>
</file>