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2.2. Diferencial promedio por grupo de aumento real, para cada medida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2911"/>
        <w:gridCol w:w="2735"/>
        <w:gridCol w:w="1181"/>
        <w:gridCol w:w="2465"/>
        <w:gridCol w:w="1903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grupo_aumento_real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efecto_promedio_pct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efecto_min_pct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efecto_max_pct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Alto (&gt;+4%)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Intermedio (0% a +4%)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2016, 2017, 2018, 2019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Negativo (&lt;0%)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2026-09-26T20:16:29Z</dcterms:modified>
  <cp:category/>
</cp:coreProperties>
</file>