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2.2d. Años individuales de los grupos alto (2023, 2024) y negativo (2015, 2022), sin promediar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441"/>
        <w:gridCol w:w="1671"/>
        <w:gridCol w:w="1988"/>
        <w:gridCol w:w="2172"/>
        <w:gridCol w:w="1426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2026-09-26T20:16:30Z</dcterms:modified>
  <cp:category/>
</cp:coreProperties>
</file>