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2.3. Cuánto del coeficiente de 2023 sobrevive al cortar el traslape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988"/>
        <w:gridCol w:w="1512"/>
        <w:gridCol w:w="1512"/>
        <w:gridCol w:w="1707"/>
        <w:gridCol w:w="1230"/>
        <w:gridCol w:w="1230"/>
        <w:gridCol w:w="2257"/>
        <w:gridCol w:w="1670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n_limpio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pct_que_sobrevive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sig_limpio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385.200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2026-09-26T20:16:33Z</dcterms:modified>
  <cp:category/>
</cp:coreProperties>
</file>