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2.4. Compresión salarial: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22"/>
        <w:gridCol w:w="1145"/>
        <w:gridCol w:w="2123"/>
        <w:gridCol w:w="1976"/>
        <w:gridCol w:w="1108"/>
        <w:gridCol w:w="19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2026-09-26T20:16:37Z</dcterms:modified>
  <cp:category/>
</cp:coreProperties>
</file>