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3.2. Firmas por combinación de caso, medida y ventana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2325"/>
        <w:gridCol w:w="2814"/>
        <w:gridCol w:w="4068"/>
        <w:gridCol w:w="2325"/>
        <w:gridCol w:w="2459"/>
        <w:gridCol w:w="2288"/>
        <w:gridCol w:w="2325"/>
        <w:gridCol w:w="2814"/>
        <w:gridCol w:w="40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2026-09-26T20:16:54Z</dcterms:modified>
  <cp:category/>
</cp:coreProperties>
</file>