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3.4. ¿Aparece cada medida al saltar el año contaminado, en 2023 y en la falsación de 2015?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206"/>
        <w:gridCol w:w="179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aparece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aparece_falsa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2026-09-26T20:16:57Z</dcterms:modified>
  <cp:category/>
</cp:coreProperties>
</file>