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Tabla 4.0. % de firmas-año (2015-2024, sin 2020/2022) con sector/depto/tamaño distinto al de 2022 de esa misma firma -- confirmado en 05, 06, 07 del pipeline real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961"/>
        <w:gridCol w:w="3089"/>
        <w:gridCol w:w="2380"/>
        <w:gridCol w:w="2245"/>
        <w:gridCol w:w="961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ANIO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pct_al_menos_uno_distinto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pct_tamano_distinto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pct_sector_distinto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32.71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20.51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15.09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5,812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39.09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5,961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6,025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6,079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6,077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6,139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6,027</w:t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12.67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9.70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3.21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5,755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2026-09-26T20:16:58Z</dcterms:modified>
  <cp:category/>
</cp:coreProperties>
</file>