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4.2. Razón observada de caída (limpia/estándar) vs. rho (correlación 2019-2022),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2636"/>
        <w:gridCol w:w="1988"/>
        <w:gridCol w:w="1707"/>
        <w:gridCol w:w="2111"/>
        <w:gridCol w:w="1646"/>
        <w:gridCol w:w="2514"/>
        <w:gridCol w:w="961"/>
        <w:gridCol w:w="32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razon_observada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rho_pearson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n_firmas_con_ambas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diferencia_razon_menos_rho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2026-09-26T20:17:00Z</dcterms:modified>
  <cp:category/>
</cp:coreProperties>
</file>