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4.3. Falsación replicada en 2015, 2016, 2019, con 2023 de referencia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9"/>
        <w:gridCol w:w="2636"/>
        <w:gridCol w:w="1194"/>
        <w:gridCol w:w="1988"/>
        <w:gridCol w:w="1426"/>
        <w:gridCol w:w="1671"/>
        <w:gridCol w:w="1842"/>
        <w:gridCol w:w="3370"/>
        <w:gridCol w:w="1426"/>
        <w:gridCol w:w="1071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ventana_anios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aumento_real_acumulado_pct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 (real -2,03%)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 (real +1,18%)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(real +2,12%)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(real +6,15%, referencia)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2026-09-26T20:17:08Z</dcterms:modified>
  <cp:category/>
</cp:coreProperties>
</file>