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4.3b. Correlación entre efecto y aumento real acumulado en la ventana,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316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correlacion_con_acumulado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2026-09-26T20:17:09Z</dcterms:modified>
  <cp:category/>
</cp:coreProperties>
</file>