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4.4b. Correlación con IC 95% (Fisher), n=8, las cinco medidas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36"/>
        <w:gridCol w:w="533"/>
        <w:gridCol w:w="1034"/>
        <w:gridCol w:w="1034"/>
        <w:gridCol w:w="1047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ic_inf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ic_sup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0.073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2026-09-26T20:17:14Z</dcterms:modified>
  <cp:category/>
</cp:coreProperties>
</file>