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4.5. Bite, ventana de 1 año, exposición 4 años antes, todos los años estimables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99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  <w:gridCol w:w="2172"/>
        <w:gridCol w:w="211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es_2023_o_2024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2026-09-26T20:17:15Z</dcterms:modified>
  <cp:category/>
</cp:coreProperties>
</file>