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5.0. Síntesis de las seis afirmaciones auditadas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379"/>
        <w:gridCol w:w="167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afirmacion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veredicto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A1. Traslape algebraico entre w_obrero y 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RESISTE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A2. La caída del coeficiente es MÁS que atenuación clásica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RESISTE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A3. Las ventanas largas producen efecto también en años sin choque real (independiente del choque)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RESISTE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A4. El diferencial escala con el tamaño real del aumento del mínimo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FALSADO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A5. Bite (ventana 1 año, exposición 4 años antes) es la única celda limpia sin falsos positivos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FALSADO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 de empleo estimado (-1,75%) con exposición 2022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PENDIENTE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2026-09-26T20:17:16Z</dcterms:modified>
  <cp:category/>
</cp:coreProperties>
</file>