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1.1. Diferencial del costo laboral por DE de exposición, año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426"/>
        <w:gridCol w:w="2514"/>
        <w:gridCol w:w="1426"/>
        <w:gridCol w:w="1071"/>
        <w:gridCol w:w="1132"/>
        <w:gridCol w:w="1609"/>
        <w:gridCol w:w="1010"/>
        <w:gridCol w:w="1487"/>
        <w:gridCol w:w="961"/>
        <w:gridCol w:w="104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aumento_minimo_pct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es_choque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2026-09-27T14:50:40Z</dcterms:modified>
  <cp:category/>
</cp:coreProperties>
</file>