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1.2. El diferencial de 2023 frente a los años normales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79"/>
        <w:gridCol w:w="103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Diferencial de 2023 (año del choque)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Mínimo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Máximo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 de 2023 sobre el promedio 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¿2023 está por encima de TODOS los años normales?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2026-09-27T14:50:41Z</dcterms:modified>
  <cp:category/>
</cp:coreProperties>
</file>