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1.5. Efecto de cada medida según cuántos controles de celda se incluyan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9"/>
        <w:gridCol w:w="2257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2026-09-27T14:50:47Z</dcterms:modified>
  <cp:category/>
</cp:coreProperties>
</file>