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1.6. Diferencial de la brecha obrero/administrativo, año por año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671"/>
        <w:gridCol w:w="1426"/>
        <w:gridCol w:w="2514"/>
        <w:gridCol w:w="1426"/>
        <w:gridCol w:w="1071"/>
        <w:gridCol w:w="1132"/>
        <w:gridCol w:w="1609"/>
        <w:gridCol w:w="1010"/>
        <w:gridCol w:w="1487"/>
        <w:gridCol w:w="961"/>
        <w:gridCol w:w="1084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anio_choque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anio_base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aumento_minimo_pct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ee_pct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firmas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es_choque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ic_inf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ic_sup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4.602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5,269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8.567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11.489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9.826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7.926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11.726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8.672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12.235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10.895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12.930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4,714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11.772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11.534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9.489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13.579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9.597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12.789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12.069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8.767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4,145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7.346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10.188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2026-09-27T14:50:50Z</dcterms:modified>
  <cp:category/>
</cp:coreProperties>
</file>