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2.3. Cuánto del coeficiente de 2023 sobrevive al cortar el traslape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2636"/>
        <w:gridCol w:w="1988"/>
        <w:gridCol w:w="1512"/>
        <w:gridCol w:w="1512"/>
        <w:gridCol w:w="1707"/>
        <w:gridCol w:w="1230"/>
        <w:gridCol w:w="1230"/>
        <w:gridCol w:w="2257"/>
        <w:gridCol w:w="1670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pct_que_sobrevive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sig_limpio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385.200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2026-09-27T14:51:03Z</dcterms:modified>
  <cp:category/>
</cp:coreProperties>
</file>