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2.5b. Rezago 0-5, 2023 y 2024 lado a lado, por medida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083"/>
        <w:gridCol w:w="1988"/>
        <w:gridCol w:w="1622"/>
        <w:gridCol w:w="1145"/>
        <w:gridCol w:w="1304"/>
        <w:gridCol w:w="1622"/>
        <w:gridCol w:w="1145"/>
        <w:gridCol w:w="130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rezago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anio_exposicion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efecto_2023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p_2023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sig_2023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efecto_2024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p_2024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sig_2024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-4.926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2026-09-27T14:51:15Z</dcterms:modified>
  <cp:category/>
</cp:coreProperties>
</file>