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3.2. Firmas por combinación de caso, medida y ventana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41"/>
        <w:gridCol w:w="2636"/>
        <w:gridCol w:w="2325"/>
        <w:gridCol w:w="2814"/>
        <w:gridCol w:w="4068"/>
        <w:gridCol w:w="2325"/>
        <w:gridCol w:w="2459"/>
        <w:gridCol w:w="2288"/>
        <w:gridCol w:w="2325"/>
        <w:gridCol w:w="2814"/>
        <w:gridCol w:w="40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2022-&gt;2023 (usual)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2021-&gt;2023 (salta 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2019-&gt;2023 (larga, = año exposición)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2023-&gt;2024 (usual)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2022-&gt;2024 (2 años)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2021-&gt;2024 (larga)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2014-&gt;2015 (usual)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2013-&gt;2015 (salta 2014)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2011-&gt;2015 (larga, = año exposición)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(falsación, aumento 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(falsación, aumento 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(falsación, aumento 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(falsación, aumento 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(falsación, aumento real -2,03%)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2026-09-27T14:51:28Z</dcterms:modified>
  <cp:category/>
</cp:coreProperties>
</file>