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4.0. % de firmas-año (2015-2024, sin 2020/2022) con sector/depto/tamaño distinto al de 2022 de esa misma firma -- confirmado en 05, 06, 07 del pipeline real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3089"/>
        <w:gridCol w:w="2380"/>
        <w:gridCol w:w="2245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pct_al_menos_uno_distinto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pct_tamano_distinto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pct_sector_distinto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2026-09-27T14:51:32Z</dcterms:modified>
  <cp:category/>
</cp:coreProperties>
</file>