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4.2. Razón observada de caída (limpia/estándar) vs. rho (correlación 2019-2022),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2636"/>
        <w:gridCol w:w="1988"/>
        <w:gridCol w:w="1707"/>
        <w:gridCol w:w="2111"/>
        <w:gridCol w:w="1646"/>
        <w:gridCol w:w="2514"/>
        <w:gridCol w:w="961"/>
        <w:gridCol w:w="3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razon_observada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rho_pearson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n_firmas_con_ambas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diferencia_razon_menos_rho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2026-09-27T14:51:35Z</dcterms:modified>
  <cp:category/>
</cp:coreProperties>
</file>