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4.3b. Correlación entre efecto y aumento real acumulado en la ventana, por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316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correlacion_con_acumulado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2026-09-27T14:51:46Z</dcterms:modified>
  <cp:category/>
</cp:coreProperties>
</file>