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4.4b. Correlación con IC 95% (Fisher), n=8,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533"/>
        <w:gridCol w:w="1034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2026-09-27T14:51:51Z</dcterms:modified>
  <cp:category/>
</cp:coreProperties>
</file>