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Estadísticas descriptivas de las medidas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87"/>
        <w:gridCol w:w="2698"/>
        <w:gridCol w:w="214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Estadístico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Máx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pct_en_0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pct_en_1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N_faltante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1,087.000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2026-09-15T01:08:50Z</dcterms:modified>
  <cp:category/>
</cp:coreProperties>
</file>