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Distribución de tamaño de empresa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23"/>
        <w:gridCol w:w="1683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tamano_empresa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n_firma_anio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37,289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17,749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7,778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2026-09-15T01:08:53Z</dcterms:modified>
  <cp:category/>
</cp:coreProperties>
</file>