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10 sectores (CIIU4) más frecuentes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73"/>
        <w:gridCol w:w="168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CIIU4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n_firma_anio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6,361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3,497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3,451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1,530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1,474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2026-09-15T01:08:53Z</dcterms:modified>
  <cp:category/>
</cp:coreProperties>
</file>