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Test conjunto de tendencias diferenciales pre-choque (2015-2019), sin y con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2710"/>
        <w:gridCol w:w="1952"/>
        <w:gridCol w:w="202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p_sin_controles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p_con_controles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2026-09-15T01:08:55Z</dcterms:modified>
  <cp:category/>
</cp:coreProperties>
</file>