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Salario mínimo, las dos convenciones de aumento real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108"/>
        <w:gridCol w:w="2575"/>
        <w:gridCol w:w="2172"/>
        <w:gridCol w:w="329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ipc_pct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aumento_nominal_pct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aumento_real_pct_ipc_previo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461,500.00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496,900.00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535,600.00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566,700.00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589,500.00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616,000.00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2026-09-26T18:57:26Z</dcterms:modified>
  <cp:category/>
</cp:coreProperties>
</file>