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2b. Correlación entre el diferencial (celda limpia) y el aumento real,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181"/>
        <w:gridCol w:w="29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correlacion_aumento_real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2026-09-26T18:28:29Z</dcterms:modified>
  <cp:category/>
</cp:coreProperties>
</file>