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Compresión salarial: 2023 frente a los años normales,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622"/>
        <w:gridCol w:w="1145"/>
        <w:gridCol w:w="2123"/>
        <w:gridCol w:w="1976"/>
        <w:gridCol w:w="1108"/>
        <w:gridCol w:w="198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promedio_normal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maximo_normal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supera_a_todos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2026-09-26T18:28:35Z</dcterms:modified>
  <cp:category/>
</cp:coreProperties>
</file>