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Compresión salarial: 2023 frente a los años normales, por medida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1622"/>
        <w:gridCol w:w="1145"/>
        <w:gridCol w:w="2123"/>
        <w:gridCol w:w="1976"/>
        <w:gridCol w:w="1108"/>
        <w:gridCol w:w="198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promedio_normal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maximo_normal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exceso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supera_a_todos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2026-09-25T00:06:43Z</dcterms:modified>
  <cp:category/>
</cp:coreProperties>
</file>