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Atribución del cambio a muestra vs. controles -- empleo lectura A y tendencias previas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17"/>
        <w:gridCol w:w="1157"/>
        <w:gridCol w:w="1157"/>
        <w:gridCol w:w="1157"/>
        <w:gridCol w:w="1621"/>
        <w:gridCol w:w="171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cifra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pct_muestra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pct_controles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Empleo, lectura A (efecto_pct)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-1.7536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Tendencias previas del empleo (p_previos)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2026-09-26T19:18:01Z</dcterms:modified>
  <cp:category/>
</cp:coreProperties>
</file>