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Firmas con vs. sin clasificación de 2022, en su primer año observado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99"/>
        <w:gridCol w:w="1254"/>
        <w:gridCol w:w="2172"/>
        <w:gridCol w:w="2098"/>
        <w:gridCol w:w="3249"/>
        <w:gridCol w:w="2367"/>
        <w:gridCol w:w="1683"/>
        <w:gridCol w:w="1670"/>
        <w:gridCol w:w="151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tiene_2022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empleo_mediano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n_anios_promedio_en_panel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w_obrero_promedio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pct_pequena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pct_grande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8,788.00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9,343.00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2026-09-26T19:18:03Z</dcterms:modified>
  <cp:category/>
</cp:coreProperties>
</file>