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Conteo y porcentaje de NA en CIIU4, DPTO y tamano_empresa,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961"/>
        <w:gridCol w:w="1230"/>
        <w:gridCol w:w="1206"/>
        <w:gridCol w:w="1512"/>
        <w:gridCol w:w="1646"/>
        <w:gridCol w:w="1622"/>
        <w:gridCol w:w="192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filas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na_dpto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pct_na_ciiu4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pct_na_dpto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pct_na_tamano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2026-09-26T19:18:05Z</dcterms:modified>
  <cp:category/>
</cp:coreProperties>
</file>