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Diferencial del costo laboral por DE de exposición, año por 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1"/>
        <w:gridCol w:w="1426"/>
        <w:gridCol w:w="2514"/>
        <w:gridCol w:w="1426"/>
        <w:gridCol w:w="1071"/>
        <w:gridCol w:w="1132"/>
        <w:gridCol w:w="1609"/>
        <w:gridCol w:w="1010"/>
        <w:gridCol w:w="1487"/>
        <w:gridCol w:w="961"/>
        <w:gridCol w:w="104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aumento_minimo_pct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ic_sup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4.908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2026-09-24T23:33:19Z</dcterms:modified>
  <cp:category/>
</cp:coreProperties>
</file>