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¿Aparece cada medida al saltar el año contaminado, en 2023 y en la falsación de 2015?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206"/>
        <w:gridCol w:w="179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aparece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aparece_falsa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2026-09-26T18:42:05Z</dcterms:modified>
  <cp:category/>
</cp:coreProperties>
</file>