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Salario mínimo, IPC del año vigente, aumento nominal y real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108"/>
        <w:gridCol w:w="2575"/>
        <w:gridCol w:w="21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ipc_pct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aumento_nominal_pct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566,700.00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589,500.00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2026-09-26T04:45:10Z</dcterms:modified>
  <cp:category/>
</cp:coreProperties>
</file>