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Diferencial medido frente al aumento nominal y real del mínimo de cada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2514"/>
        <w:gridCol w:w="1426"/>
        <w:gridCol w:w="1071"/>
        <w:gridCol w:w="1487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2026-09-26T04:45:13Z</dcterms:modified>
  <cp:category/>
</cp:coreProperties>
</file>