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Dirección del residuo C3R10 - suma(C3R1..C3R9): reparto de signos por categoría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3620"/>
        <w:gridCol w:w="1084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cero (dentro de tolerancia)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84,517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 (C3R10 &lt;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positivo (C3R10 &gt;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35.350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cero (dentro de tolerancia)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 (C3R10 &lt;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positivo (C3R10 &gt;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cero (dentro de tolerancia)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97,494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74.500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 (C3R10 &lt;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positivo (C3R10 &gt;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25.480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cero (dentro de tolerancia)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 (C3R10 &lt; suma R1-R9)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positivo (C3R10 &gt; suma R1-R9)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67,977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51.950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2026-09-24T20:01:18Z</dcterms:modified>
  <cp:category/>
</cp:coreProperties>
</file>