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Magnitud del residuo como % de C3R10: mediana, percentiles, % que supera 5%/20%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1206"/>
        <w:gridCol w:w="1670"/>
        <w:gridCol w:w="1194"/>
        <w:gridCol w:w="1194"/>
        <w:gridCol w:w="1194"/>
        <w:gridCol w:w="1194"/>
        <w:gridCol w:w="2037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categoria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p10_pct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p25_pct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p75_pct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p90_pct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pct_supera_5pct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pct_supera_20pct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123,598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126,430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77,507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4.440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130,369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2026-09-24T20:01:19Z</dcterms:modified>
  <cp:category/>
</cp:coreProperties>
</file>