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Promedios antes y después de 2023 por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4043"/>
        <w:gridCol w:w="4349"/>
        <w:gridCol w:w="4116"/>
        <w:gridCol w:w="4422"/>
        <w:gridCol w:w="2306"/>
        <w:gridCol w:w="238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salario_promedio_Antes (2015-2022)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empleo_promedio_Antes (2015-2022)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cambio_salario_pct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cambio_empleo_pct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35,047.8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51,351.8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25,029.2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34,387.4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2026-09-26T21:54:17Z</dcterms:modified>
  <cp:category/>
</cp:coreProperties>
</file>