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1.1. Crecimiento del empleo 2022-2023 por DE de exposición, exposición medida en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1.1. Crecimiento del empleo 2022-2023 por DE de exposición, exposición medida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</w:tr>
    </w:tbl>
    <w:p>
      <w:pPr>
        <w:pStyle w:val="Titre2"/>
      </w:pPr>
      <w:r>
        <w:t xml:space="preserve">Tabla 1.2. Empleo 2022-2023: exposición estándar (2022) vs. celda limpia (2019)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1.2. Empleo 2022-2023: exposición estándar (2022) vs. celda limpia (2019)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988"/>
        <w:gridCol w:w="1634"/>
        <w:gridCol w:w="1512"/>
        <w:gridCol w:w="1512"/>
        <w:gridCol w:w="1707"/>
        <w:gridCol w:w="1352"/>
        <w:gridCol w:w="1230"/>
        <w:gridCol w:w="1230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2.1. Empleo, choque 2023: efecto según el rezago de la exposición (0-5),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Empleo, choque 2023: efecto según el rezago de la exposición (0-5),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Tabla 3.1. Placebo rodante sobre el empleo, celda limpia (rezago 4), todos los años estimables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Placebo rodante sobre el empleo, celda limpia (rezago 4),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  <w:gridCol w:w="2172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</w:tr>
    </w:tbl>
    <w:p>
      <w:pPr>
        <w:pStyle w:val="Titre2"/>
      </w:pPr>
      <w:r>
        <w:t xml:space="preserve">Tabla 3.2. Empleo: efecto promedio por grupo de aumento real (alto=2023; intermedio=2016-2019; negativo=2015,2022)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3.2. Empleo: efecto promedio por grupo de aumento real (alto=2023; intermedio=2016-2019; negativo=2015,2022)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911"/>
        <w:gridCol w:w="3347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2.202</w:t>
            </w:r>
          </w:p>
        </w:tc>
      </w:tr>
    </w:tbl>
    <w:p>
      <w:pPr>
        <w:pStyle w:val="Titre2"/>
      </w:pPr>
      <w:r>
        <w:t xml:space="preserve">Tabla 3.3. Correlación entre el efecto sobre el empleo (celda limpia) y el aumento real,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Correlación entre el efecto sobre el empleo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-0.840</w:t>
            </w:r>
          </w:p>
        </w:tc>
      </w:tr>
    </w:tbl>
    <w:p>
      <w:pPr>
        <w:pStyle w:val="Titre2"/>
      </w:pPr>
      <w:r>
        <w:t xml:space="preserve">Tabla 4.1. Prueba conjunta de coeficientes previos (2015-2019, 2021 vs. 2022), exposición de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Prueba conjunta de coeficientes previos (2015-2019, 2021 vs. 2022), exposición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976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</w:tbl>
    <w:p>
      <w:pPr>
        <w:pStyle w:val="Titre2"/>
      </w:pPr>
      <w:r>
        <w:t xml:space="preserve">Tabla 4.2. Coeficientes del estudio de evento año por año (frente a 2022), exposición de 2019,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Coeficientes del estudio de evento año por año (frente a 2022),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71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4.3. Coeficiente de 2023 frente al promedio de los coeficientes previos (2015-2019, 2021), en valor absoluto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Coeficiente de 2023 frente al promedio de los coeficientes previos (2015-2019, 2021), en valor absoluto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5"/>
        <w:gridCol w:w="1854"/>
        <w:gridCol w:w="1707"/>
        <w:gridCol w:w="2698"/>
        <w:gridCol w:w="34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promedio_previo_pct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mismo_signo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pct_2023_de_la_previa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c2023_MENOR_que_la_previa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5.1. Criterios de lectura, resumidos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5.1. Criterios de lectura, resumidos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65"/>
        <w:gridCol w:w="127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significativo al 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rezago 4-5: se mantiene negativo y significativo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tendencias previas (exposición 2019): p-valor conjunto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Bite: ¿el coef. de 2023 es MENOR que el promedio de los previos?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Y significativas al 5%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que NO rechazan tendencias previas (p &gt;= 0,10)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donde 2023 es MENOR que el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2026-09-26T20:42:29Z</dcterms:modified>
  <cp:category/>
</cp:coreProperties>
</file>