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1.2. Empleo 2022-2023: exposición estándar (2022) vs. celda limpia (2019)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988"/>
        <w:gridCol w:w="1634"/>
        <w:gridCol w:w="1512"/>
        <w:gridCol w:w="1512"/>
        <w:gridCol w:w="1707"/>
        <w:gridCol w:w="1352"/>
        <w:gridCol w:w="1230"/>
        <w:gridCol w:w="1230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2026-09-26T20:42:09Z</dcterms:modified>
  <cp:category/>
</cp:coreProperties>
</file>