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2.1. Empleo, choque 2023: efecto según el rezago de la exposición (0-5), las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2636"/>
        <w:gridCol w:w="1988"/>
        <w:gridCol w:w="1426"/>
        <w:gridCol w:w="1671"/>
        <w:gridCol w:w="1426"/>
        <w:gridCol w:w="1071"/>
        <w:gridCol w:w="1132"/>
        <w:gridCol w:w="1609"/>
        <w:gridCol w:w="1010"/>
        <w:gridCol w:w="108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anio_choque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rezago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2026-09-26T20:42:12Z</dcterms:modified>
  <cp:category/>
</cp:coreProperties>
</file>