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3.2. Empleo: efecto promedio por grupo de aumento real (alto=2023; intermedio=2016-2019; negativo=2015,2022)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2911"/>
        <w:gridCol w:w="3347"/>
        <w:gridCol w:w="1181"/>
        <w:gridCol w:w="2465"/>
        <w:gridCol w:w="1903"/>
        <w:gridCol w:w="196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grupo_aumento_real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n_anios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efecto_promedio_pct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efecto_min_pct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efecto_max_pct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2026-09-26T20:42:19Z</dcterms:modified>
  <cp:category/>
</cp:coreProperties>
</file>