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3.3. Correlación entre el efecto sobre el empleo (celda limpia) y el aumento real,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1181"/>
        <w:gridCol w:w="29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n_anios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correlacion_aumento_real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2026-09-26T20:42:19Z</dcterms:modified>
  <cp:category/>
</cp:coreProperties>
</file>