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4.1. Prueba conjunta de coeficientes previos (2015-2019, 2021 vs. 2022), exposición de 2019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1597"/>
        <w:gridCol w:w="1976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clave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p_previos_2019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 (Kaitz de obreros)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 (3 categorías)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A (ponderada)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 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 (% obreros)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53,517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2026-09-26T20:42:22Z</dcterms:modified>
  <cp:category/>
</cp:coreProperties>
</file>